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CD9" w:rsidRDefault="00633CD9" w:rsidP="00633CD9">
      <w:pPr>
        <w:pStyle w:val="a3"/>
        <w:ind w:left="709"/>
      </w:pPr>
    </w:p>
    <w:p w:rsidR="00633CD9" w:rsidRDefault="00633CD9" w:rsidP="00633CD9">
      <w:pPr>
        <w:pStyle w:val="a3"/>
        <w:jc w:val="center"/>
      </w:pPr>
      <w:r>
        <w:rPr>
          <w:rStyle w:val="a4"/>
          <w:sz w:val="21"/>
          <w:szCs w:val="21"/>
        </w:rPr>
        <w:t>А Н А Л І З</w:t>
      </w:r>
    </w:p>
    <w:p w:rsidR="00633CD9" w:rsidRDefault="00633CD9" w:rsidP="0049171E">
      <w:pPr>
        <w:pStyle w:val="a3"/>
        <w:spacing w:before="0" w:beforeAutospacing="0" w:after="0" w:afterAutospacing="0"/>
        <w:jc w:val="center"/>
      </w:pPr>
      <w:r>
        <w:rPr>
          <w:rStyle w:val="a4"/>
          <w:sz w:val="21"/>
          <w:szCs w:val="21"/>
        </w:rPr>
        <w:t xml:space="preserve">регуляторного впливу проекту рішення сесії </w:t>
      </w:r>
      <w:r>
        <w:rPr>
          <w:rStyle w:val="a4"/>
          <w:sz w:val="21"/>
          <w:szCs w:val="21"/>
          <w:lang w:val="uk-UA"/>
        </w:rPr>
        <w:t>Бубнівської</w:t>
      </w:r>
      <w:r>
        <w:rPr>
          <w:rStyle w:val="a4"/>
          <w:sz w:val="21"/>
          <w:szCs w:val="21"/>
        </w:rPr>
        <w:t xml:space="preserve"> сільської ради </w:t>
      </w:r>
    </w:p>
    <w:p w:rsidR="0049171E" w:rsidRDefault="00633CD9" w:rsidP="0049171E">
      <w:pPr>
        <w:pStyle w:val="a3"/>
        <w:spacing w:before="0" w:beforeAutospacing="0" w:after="0" w:afterAutospacing="0"/>
        <w:jc w:val="center"/>
        <w:rPr>
          <w:lang w:val="uk-UA"/>
        </w:rPr>
      </w:pPr>
      <w:r>
        <w:rPr>
          <w:rStyle w:val="a4"/>
          <w:sz w:val="21"/>
          <w:szCs w:val="21"/>
        </w:rPr>
        <w:t>«Про ставки єдиного податку »</w:t>
      </w:r>
    </w:p>
    <w:p w:rsidR="0049171E" w:rsidRDefault="0049171E" w:rsidP="0049171E">
      <w:pPr>
        <w:pStyle w:val="a3"/>
        <w:spacing w:before="0" w:beforeAutospacing="0" w:after="0" w:afterAutospacing="0"/>
        <w:jc w:val="center"/>
        <w:rPr>
          <w:lang w:val="uk-UA"/>
        </w:rPr>
      </w:pPr>
    </w:p>
    <w:p w:rsidR="00633CD9" w:rsidRDefault="00633CD9" w:rsidP="0049171E">
      <w:pPr>
        <w:pStyle w:val="a3"/>
        <w:spacing w:before="0" w:beforeAutospacing="0" w:after="0" w:afterAutospacing="0"/>
        <w:ind w:firstLine="567"/>
        <w:jc w:val="both"/>
      </w:pPr>
      <w:r>
        <w:t> </w:t>
      </w:r>
      <w:r w:rsidRPr="00633CD9">
        <w:rPr>
          <w:b/>
          <w:sz w:val="21"/>
          <w:szCs w:val="21"/>
        </w:rPr>
        <w:t>1.Опис проблеми</w:t>
      </w:r>
      <w:r>
        <w:rPr>
          <w:sz w:val="21"/>
          <w:szCs w:val="21"/>
        </w:rPr>
        <w:t>.</w:t>
      </w:r>
    </w:p>
    <w:p w:rsidR="00633CD9" w:rsidRDefault="00633CD9" w:rsidP="00633CD9">
      <w:pPr>
        <w:pStyle w:val="a3"/>
        <w:ind w:left="567"/>
      </w:pPr>
      <w:r>
        <w:rPr>
          <w:sz w:val="21"/>
          <w:szCs w:val="21"/>
        </w:rPr>
        <w:t>Даним проектом рішення пропонується затвердити ставки єдиного податку для суб’єктів господарювання, фізичних осіб – підприємств, які застосовують спрощену систему оподаткування, обліку та звітності.</w:t>
      </w:r>
    </w:p>
    <w:p w:rsidR="00633CD9" w:rsidRDefault="00633CD9" w:rsidP="00633CD9">
      <w:pPr>
        <w:pStyle w:val="a3"/>
        <w:ind w:left="567"/>
      </w:pPr>
      <w:r>
        <w:rPr>
          <w:sz w:val="21"/>
          <w:szCs w:val="21"/>
        </w:rPr>
        <w:t>Відповідно до чинного законодавства, ставки єдиного податку встановлюються у відсотках (фіксовані ставки) до розміру мінімальної заробітної плати, встановленої законом на 1 січня податкового (звітного ) року. Для першої групи платників єдиного податку – у межах від 1 до 10 відсотків розміру мінімальної заробітної плати. Для другої групи платників єдиного податку – у межах від 2 до 20 відсотків розміру мінімальної заробітної плати.</w:t>
      </w:r>
    </w:p>
    <w:p w:rsidR="00633CD9" w:rsidRDefault="00633CD9" w:rsidP="00633CD9">
      <w:pPr>
        <w:pStyle w:val="a3"/>
        <w:ind w:left="567"/>
      </w:pPr>
      <w:r>
        <w:rPr>
          <w:sz w:val="21"/>
          <w:szCs w:val="21"/>
        </w:rPr>
        <w:t>Цей проект рішення спрямований на задоволення інтересів суб’єктів підприємницької діяльності, які є або мають бажання бути платником єдиного податку з урахуванням соціальної значимості певного виду діяльності, необхідності розвитку окремих видів робіт та послуг в селі та задоволення інтересів територіальної громади в покращенні матеріальної бази об’єктів соціальної сфери села шляхом додаткових надходжень до місцевого бюджету.</w:t>
      </w:r>
    </w:p>
    <w:p w:rsidR="00633CD9" w:rsidRPr="00633CD9" w:rsidRDefault="00633CD9" w:rsidP="00633CD9">
      <w:pPr>
        <w:pStyle w:val="a3"/>
        <w:ind w:left="567"/>
        <w:rPr>
          <w:b/>
        </w:rPr>
      </w:pPr>
      <w:r w:rsidRPr="00633CD9">
        <w:rPr>
          <w:b/>
          <w:sz w:val="21"/>
          <w:szCs w:val="21"/>
        </w:rPr>
        <w:t>2.Мета та завдання регулювання:</w:t>
      </w:r>
    </w:p>
    <w:p w:rsidR="00633CD9" w:rsidRDefault="00633CD9" w:rsidP="00633CD9">
      <w:pPr>
        <w:pStyle w:val="a3"/>
        <w:ind w:left="567"/>
      </w:pPr>
      <w:r>
        <w:rPr>
          <w:sz w:val="21"/>
          <w:szCs w:val="21"/>
        </w:rPr>
        <w:t xml:space="preserve">Метою прийняття </w:t>
      </w:r>
      <w:r>
        <w:rPr>
          <w:sz w:val="21"/>
          <w:szCs w:val="21"/>
          <w:lang w:val="uk-UA"/>
        </w:rPr>
        <w:t xml:space="preserve">Бубнівською </w:t>
      </w:r>
      <w:r>
        <w:rPr>
          <w:sz w:val="21"/>
          <w:szCs w:val="21"/>
        </w:rPr>
        <w:t>сільською радою даного регуляторного акту є:</w:t>
      </w:r>
    </w:p>
    <w:p w:rsidR="00633CD9" w:rsidRDefault="00633CD9" w:rsidP="00633CD9">
      <w:pPr>
        <w:pStyle w:val="a3"/>
        <w:ind w:left="567"/>
      </w:pPr>
      <w:r>
        <w:rPr>
          <w:sz w:val="21"/>
          <w:szCs w:val="21"/>
        </w:rPr>
        <w:t>- забезпечення відповідних надходжень до сільського бюджету;</w:t>
      </w:r>
    </w:p>
    <w:p w:rsidR="00633CD9" w:rsidRDefault="00633CD9" w:rsidP="00633CD9">
      <w:pPr>
        <w:pStyle w:val="a3"/>
        <w:ind w:left="567"/>
      </w:pPr>
      <w:r>
        <w:rPr>
          <w:sz w:val="21"/>
          <w:szCs w:val="21"/>
        </w:rPr>
        <w:t>- забезпечення дотримання вимог діючого законодавства щодо місцевих податків і зборів;</w:t>
      </w:r>
    </w:p>
    <w:p w:rsidR="00633CD9" w:rsidRDefault="00633CD9" w:rsidP="00633CD9">
      <w:pPr>
        <w:pStyle w:val="a3"/>
        <w:ind w:left="567"/>
      </w:pPr>
      <w:r>
        <w:rPr>
          <w:sz w:val="21"/>
          <w:szCs w:val="21"/>
        </w:rPr>
        <w:t>- відкритість процедури, прозорість дій органу місцевого самоврядування при вирішенні питань, пов’язаних зі справлянням обов’язкового місцевого податку. Завданням запропонованого проекту рішення є: встановлення розмірів ставки єдиного податку для суб’єктів господарювання фізичних осіб –підприємців.</w:t>
      </w:r>
    </w:p>
    <w:p w:rsidR="00633CD9" w:rsidRPr="00633CD9" w:rsidRDefault="00633CD9" w:rsidP="00633CD9">
      <w:pPr>
        <w:pStyle w:val="a3"/>
        <w:tabs>
          <w:tab w:val="left" w:pos="5940"/>
        </w:tabs>
        <w:ind w:left="567"/>
        <w:rPr>
          <w:b/>
        </w:rPr>
      </w:pPr>
      <w:r w:rsidRPr="00633CD9">
        <w:rPr>
          <w:b/>
          <w:sz w:val="21"/>
          <w:szCs w:val="21"/>
        </w:rPr>
        <w:t>3.Альтернативні способи досягнення визначеної мети.</w:t>
      </w:r>
      <w:r w:rsidRPr="00633CD9">
        <w:rPr>
          <w:b/>
          <w:sz w:val="21"/>
          <w:szCs w:val="21"/>
        </w:rPr>
        <w:tab/>
      </w:r>
    </w:p>
    <w:p w:rsidR="00633CD9" w:rsidRDefault="00633CD9" w:rsidP="00633CD9">
      <w:pPr>
        <w:pStyle w:val="a3"/>
        <w:ind w:left="567"/>
      </w:pPr>
      <w:r>
        <w:rPr>
          <w:sz w:val="21"/>
          <w:szCs w:val="21"/>
        </w:rPr>
        <w:t xml:space="preserve">Правове регулювання ґрунтується на загальнообов’язковості рішення сільської ради для виконанні на території </w:t>
      </w:r>
      <w:r>
        <w:rPr>
          <w:sz w:val="21"/>
          <w:szCs w:val="21"/>
          <w:lang w:val="uk-UA"/>
        </w:rPr>
        <w:t xml:space="preserve">Бубнівської </w:t>
      </w:r>
      <w:r>
        <w:rPr>
          <w:sz w:val="21"/>
          <w:szCs w:val="21"/>
        </w:rPr>
        <w:t>сільської ради, що передбачено Податковим кодексом України, Законом України «Про внесення змін до податкового кодексу України та деяких інших законодавчих актів  України щодо спрощеної системи оподаткування, обліку та звітності» та Закону України «Про місцеве самоврядування в Україні».</w:t>
      </w:r>
    </w:p>
    <w:p w:rsidR="00633CD9" w:rsidRDefault="00633CD9" w:rsidP="00633CD9">
      <w:pPr>
        <w:pStyle w:val="a3"/>
        <w:ind w:left="567"/>
      </w:pPr>
      <w:r>
        <w:rPr>
          <w:sz w:val="21"/>
          <w:szCs w:val="21"/>
        </w:rPr>
        <w:t>Альтернативних способів досягнення визначеної мети немає.</w:t>
      </w:r>
    </w:p>
    <w:p w:rsidR="00633CD9" w:rsidRPr="00633CD9" w:rsidRDefault="00633CD9" w:rsidP="00633CD9">
      <w:pPr>
        <w:pStyle w:val="a3"/>
        <w:ind w:left="567"/>
        <w:rPr>
          <w:b/>
        </w:rPr>
      </w:pPr>
      <w:r w:rsidRPr="00633CD9">
        <w:rPr>
          <w:b/>
          <w:sz w:val="21"/>
          <w:szCs w:val="21"/>
        </w:rPr>
        <w:t>4.Механізм, який запропонований застосувати для роз’яснення проблеми і відповідні заходи.</w:t>
      </w:r>
    </w:p>
    <w:p w:rsidR="00633CD9" w:rsidRDefault="00633CD9" w:rsidP="00633CD9">
      <w:pPr>
        <w:pStyle w:val="a3"/>
        <w:ind w:left="567"/>
      </w:pPr>
      <w:r>
        <w:rPr>
          <w:sz w:val="21"/>
          <w:szCs w:val="21"/>
        </w:rPr>
        <w:t>Ця проблема не може бути вирішена за допомогою ринкових механізмів, тобто вона може бути вирішена тільки шляхом регуляторного акту.</w:t>
      </w:r>
    </w:p>
    <w:p w:rsidR="00633CD9" w:rsidRPr="00633CD9" w:rsidRDefault="00633CD9" w:rsidP="00633CD9">
      <w:pPr>
        <w:pStyle w:val="a3"/>
        <w:ind w:left="567"/>
        <w:rPr>
          <w:b/>
        </w:rPr>
      </w:pPr>
      <w:r w:rsidRPr="00633CD9">
        <w:rPr>
          <w:b/>
          <w:sz w:val="21"/>
          <w:szCs w:val="21"/>
        </w:rPr>
        <w:t>5.Обгрунтування можливостей досягнення визначеної мети в разі прийняття регуляторного акту.</w:t>
      </w:r>
    </w:p>
    <w:p w:rsidR="00633CD9" w:rsidRDefault="00633CD9" w:rsidP="00633CD9">
      <w:pPr>
        <w:pStyle w:val="a3"/>
        <w:ind w:left="567"/>
      </w:pPr>
      <w:r>
        <w:rPr>
          <w:sz w:val="21"/>
          <w:szCs w:val="21"/>
        </w:rPr>
        <w:lastRenderedPageBreak/>
        <w:t>Впровадження цього регуляторного акту дасть змогу впроваджувати діяльність суб’єктів господарювання, визначити їх обов’язки, порядок сплати єдиного податку, порядок їх взаємодії з сільською радою.</w:t>
      </w:r>
    </w:p>
    <w:p w:rsidR="00633CD9" w:rsidRPr="00633CD9" w:rsidRDefault="00211162" w:rsidP="00633CD9">
      <w:pPr>
        <w:pStyle w:val="a3"/>
        <w:ind w:left="567"/>
        <w:rPr>
          <w:b/>
        </w:rPr>
      </w:pPr>
      <w:r>
        <w:rPr>
          <w:b/>
          <w:sz w:val="21"/>
          <w:szCs w:val="21"/>
        </w:rPr>
        <w:t>6.Очік</w:t>
      </w:r>
      <w:r>
        <w:rPr>
          <w:b/>
          <w:sz w:val="21"/>
          <w:szCs w:val="21"/>
          <w:lang w:val="uk-UA"/>
        </w:rPr>
        <w:t>у</w:t>
      </w:r>
      <w:r w:rsidR="00633CD9" w:rsidRPr="00633CD9">
        <w:rPr>
          <w:b/>
          <w:sz w:val="21"/>
          <w:szCs w:val="21"/>
        </w:rPr>
        <w:t>вані результати прийняття акту.</w:t>
      </w:r>
    </w:p>
    <w:p w:rsidR="00633CD9" w:rsidRDefault="00633CD9" w:rsidP="00633CD9">
      <w:pPr>
        <w:pStyle w:val="a3"/>
        <w:ind w:left="567"/>
      </w:pPr>
      <w:r>
        <w:rPr>
          <w:sz w:val="21"/>
          <w:szCs w:val="21"/>
        </w:rPr>
        <w:t>Прийняття даного проекту рішення надасть можливість направити додаткові кошти до місцевого бюджету на створення спільних благ всієї громади.</w:t>
      </w:r>
    </w:p>
    <w:p w:rsidR="00633CD9" w:rsidRDefault="00633CD9" w:rsidP="00633CD9">
      <w:pPr>
        <w:pStyle w:val="a3"/>
        <w:ind w:left="567"/>
      </w:pPr>
      <w:r>
        <w:rPr>
          <w:sz w:val="21"/>
          <w:szCs w:val="21"/>
        </w:rPr>
        <w:t>Споживачами спільних благ є всі мешканці громади, в т.ч. і платники єдиного податку.</w:t>
      </w:r>
    </w:p>
    <w:p w:rsidR="00633CD9" w:rsidRPr="00633CD9" w:rsidRDefault="00633CD9" w:rsidP="00633CD9">
      <w:pPr>
        <w:pStyle w:val="a3"/>
        <w:ind w:left="567"/>
        <w:rPr>
          <w:b/>
        </w:rPr>
      </w:pPr>
      <w:r w:rsidRPr="00633CD9">
        <w:rPr>
          <w:b/>
          <w:sz w:val="21"/>
          <w:szCs w:val="21"/>
        </w:rPr>
        <w:t>7.Показники результативності акту.</w:t>
      </w:r>
    </w:p>
    <w:p w:rsidR="00633CD9" w:rsidRDefault="00633CD9" w:rsidP="00633CD9">
      <w:pPr>
        <w:pStyle w:val="a3"/>
        <w:ind w:left="567"/>
      </w:pPr>
      <w:r>
        <w:rPr>
          <w:sz w:val="21"/>
          <w:szCs w:val="21"/>
        </w:rPr>
        <w:t>Прийняття даного рішення дасть можливість збільшення надходжень до місцевого бюджету шляхом виведення з «тіні» та легалізації вказаних видів діяльності.</w:t>
      </w:r>
    </w:p>
    <w:p w:rsidR="00633CD9" w:rsidRDefault="00633CD9" w:rsidP="00633CD9">
      <w:pPr>
        <w:pStyle w:val="a3"/>
        <w:ind w:left="567"/>
      </w:pPr>
      <w:r>
        <w:rPr>
          <w:sz w:val="21"/>
          <w:szCs w:val="21"/>
        </w:rPr>
        <w:t>Збільшення кількості суб’єктів малого підприємництва на території сільської ради.</w:t>
      </w:r>
    </w:p>
    <w:p w:rsidR="00633CD9" w:rsidRPr="00633CD9" w:rsidRDefault="00633CD9" w:rsidP="00633CD9">
      <w:pPr>
        <w:pStyle w:val="a3"/>
        <w:ind w:left="567"/>
        <w:rPr>
          <w:b/>
        </w:rPr>
      </w:pPr>
      <w:r w:rsidRPr="00633CD9">
        <w:rPr>
          <w:b/>
          <w:sz w:val="21"/>
          <w:szCs w:val="21"/>
        </w:rPr>
        <w:t>8.Обгрунтування запропонованого строку чинності регуляторного акту.</w:t>
      </w:r>
    </w:p>
    <w:p w:rsidR="00633CD9" w:rsidRDefault="00633CD9" w:rsidP="00633CD9">
      <w:pPr>
        <w:pStyle w:val="a3"/>
        <w:ind w:left="567"/>
      </w:pPr>
      <w:r>
        <w:rPr>
          <w:sz w:val="21"/>
          <w:szCs w:val="21"/>
        </w:rPr>
        <w:t xml:space="preserve">Термін дії запропонованого регуляторного акту не обмежено у часі, оскільки його прийняття є загальнообов’язковим до застосування на території </w:t>
      </w:r>
      <w:r>
        <w:rPr>
          <w:sz w:val="21"/>
          <w:szCs w:val="21"/>
          <w:lang w:val="uk-UA"/>
        </w:rPr>
        <w:t>Бубнівської</w:t>
      </w:r>
      <w:r>
        <w:rPr>
          <w:sz w:val="21"/>
          <w:szCs w:val="21"/>
        </w:rPr>
        <w:t xml:space="preserve"> сільської ради та діє на широке коло суб’єктів господарювання фізичних осіб – підприємців.</w:t>
      </w:r>
    </w:p>
    <w:p w:rsidR="00633CD9" w:rsidRDefault="00633CD9" w:rsidP="00633CD9">
      <w:pPr>
        <w:pStyle w:val="a3"/>
        <w:ind w:left="567"/>
      </w:pPr>
      <w:r>
        <w:rPr>
          <w:sz w:val="21"/>
          <w:szCs w:val="21"/>
        </w:rPr>
        <w:t>Рішення діятиме до змін в чинному законодавстві, до прийняття нового рішення або внесення змін в дане.</w:t>
      </w:r>
    </w:p>
    <w:p w:rsidR="00633CD9" w:rsidRPr="00633CD9" w:rsidRDefault="00633CD9" w:rsidP="00633CD9">
      <w:pPr>
        <w:pStyle w:val="a3"/>
        <w:ind w:left="567"/>
        <w:rPr>
          <w:b/>
        </w:rPr>
      </w:pPr>
      <w:r w:rsidRPr="00633CD9">
        <w:rPr>
          <w:b/>
          <w:sz w:val="21"/>
          <w:szCs w:val="21"/>
        </w:rPr>
        <w:t>9.Заходи, при допомозі яких буде здійснюватись відстеження результативності регуляторного акту.</w:t>
      </w:r>
    </w:p>
    <w:p w:rsidR="00633CD9" w:rsidRDefault="00633CD9" w:rsidP="00633CD9">
      <w:pPr>
        <w:pStyle w:val="a3"/>
        <w:ind w:left="567"/>
      </w:pPr>
      <w:r>
        <w:rPr>
          <w:sz w:val="21"/>
          <w:szCs w:val="21"/>
        </w:rPr>
        <w:t xml:space="preserve">Відстеження результативності регуляторного акту здійснюється </w:t>
      </w:r>
      <w:r>
        <w:rPr>
          <w:sz w:val="21"/>
          <w:szCs w:val="21"/>
          <w:lang w:val="uk-UA"/>
        </w:rPr>
        <w:t>Бубнівською</w:t>
      </w:r>
      <w:r>
        <w:rPr>
          <w:sz w:val="21"/>
          <w:szCs w:val="21"/>
        </w:rPr>
        <w:t xml:space="preserve"> сільською радою у встановленому законодавством порядку за кількісними і якісними показниками з використанням статистичних даних </w:t>
      </w:r>
      <w:r>
        <w:rPr>
          <w:sz w:val="21"/>
          <w:szCs w:val="21"/>
          <w:lang w:val="uk-UA"/>
        </w:rPr>
        <w:t>Володимир-Волинської ОДПІ</w:t>
      </w:r>
      <w:r>
        <w:rPr>
          <w:sz w:val="21"/>
          <w:szCs w:val="21"/>
        </w:rPr>
        <w:t>.</w:t>
      </w:r>
    </w:p>
    <w:p w:rsidR="00633CD9" w:rsidRDefault="00633CD9" w:rsidP="00633CD9">
      <w:pPr>
        <w:pStyle w:val="a3"/>
        <w:ind w:left="709"/>
      </w:pPr>
      <w:r>
        <w:rPr>
          <w:sz w:val="21"/>
          <w:szCs w:val="21"/>
        </w:rPr>
        <w:t> </w:t>
      </w:r>
    </w:p>
    <w:p w:rsidR="00743BC5" w:rsidRDefault="00743BC5"/>
    <w:sectPr w:rsidR="00743BC5" w:rsidSect="00743B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33CD9"/>
    <w:rsid w:val="00211162"/>
    <w:rsid w:val="0049171E"/>
    <w:rsid w:val="00633CD9"/>
    <w:rsid w:val="00743B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3CD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3CD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605</Words>
  <Characters>3452</Characters>
  <Application>Microsoft Office Word</Application>
  <DocSecurity>0</DocSecurity>
  <Lines>28</Lines>
  <Paragraphs>8</Paragraphs>
  <ScaleCrop>false</ScaleCrop>
  <Company>Microsoft</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2013-05-14T13:26:00Z</dcterms:created>
  <dcterms:modified xsi:type="dcterms:W3CDTF">2013-05-14T13:33:00Z</dcterms:modified>
</cp:coreProperties>
</file>